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2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智能财务管理微专业报名须知</w:t>
      </w:r>
    </w:p>
    <w:p w14:paraId="53A46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一、微专业名称：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智能财务管理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 </w:t>
      </w:r>
    </w:p>
    <w:p w14:paraId="30D0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二、开办单位：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数智管理学院 </w:t>
      </w:r>
    </w:p>
    <w:p w14:paraId="4D7B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三、招生对象：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我校23级有兴趣且学有余力的在校本科学生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非会计学和非财务管理专业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）</w:t>
      </w:r>
    </w:p>
    <w:p w14:paraId="0B5BE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四、学习年限：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1年（2025-2026学年）</w:t>
      </w:r>
    </w:p>
    <w:p w14:paraId="3A920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五、课程安排</w:t>
      </w:r>
    </w:p>
    <w:tbl>
      <w:tblPr>
        <w:tblStyle w:val="3"/>
        <w:tblpPr w:leftFromText="180" w:rightFromText="180" w:vertAnchor="text" w:horzAnchor="page" w:tblpXSpec="center" w:tblpY="176"/>
        <w:tblOverlap w:val="never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735"/>
        <w:gridCol w:w="705"/>
        <w:gridCol w:w="1605"/>
        <w:gridCol w:w="1170"/>
        <w:gridCol w:w="1140"/>
        <w:gridCol w:w="1342"/>
      </w:tblGrid>
      <w:tr w14:paraId="34EF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top"/>
          </w:tcPr>
          <w:p w14:paraId="02A2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课程名称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27B3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学时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6BA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学分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1ACF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开课学期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637D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任课教师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88A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开课周次</w:t>
            </w:r>
          </w:p>
        </w:tc>
        <w:tc>
          <w:tcPr>
            <w:tcW w:w="1342" w:type="dxa"/>
            <w:shd w:val="clear" w:color="auto" w:fill="auto"/>
            <w:vAlign w:val="top"/>
          </w:tcPr>
          <w:p w14:paraId="08F4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380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0C1D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53" w:leftChars="25" w:right="53" w:rightChars="25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会计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E92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94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9EE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C8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A43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19-21</w:t>
            </w:r>
          </w:p>
        </w:tc>
        <w:tc>
          <w:tcPr>
            <w:tcW w:w="1342" w:type="dxa"/>
            <w:shd w:val="clear" w:color="auto" w:fill="auto"/>
            <w:vAlign w:val="top"/>
          </w:tcPr>
          <w:p w14:paraId="2B93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集中授课</w:t>
            </w:r>
          </w:p>
        </w:tc>
      </w:tr>
      <w:tr w14:paraId="7316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12DB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53" w:leftChars="25" w:right="53" w:rightChars="25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财务成本管理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21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349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7FB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2F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9DF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19-21</w:t>
            </w:r>
          </w:p>
        </w:tc>
        <w:tc>
          <w:tcPr>
            <w:tcW w:w="1342" w:type="dxa"/>
            <w:shd w:val="clear" w:color="auto" w:fill="auto"/>
            <w:vAlign w:val="top"/>
          </w:tcPr>
          <w:p w14:paraId="52F0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集中授课</w:t>
            </w:r>
          </w:p>
        </w:tc>
      </w:tr>
      <w:tr w14:paraId="172D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5DD9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53" w:leftChars="25" w:right="53" w:rightChars="25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财务共享与业财融合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97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197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60C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0A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24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19-21</w:t>
            </w:r>
          </w:p>
        </w:tc>
        <w:tc>
          <w:tcPr>
            <w:tcW w:w="1342" w:type="dxa"/>
            <w:shd w:val="clear" w:color="auto" w:fill="auto"/>
            <w:vAlign w:val="top"/>
          </w:tcPr>
          <w:p w14:paraId="44D6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集中授课</w:t>
            </w:r>
          </w:p>
        </w:tc>
      </w:tr>
      <w:tr w14:paraId="103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56DC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53" w:leftChars="25" w:right="53" w:rightChars="25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智能财务分析与决策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C3D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1B2A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427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B7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61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19-21</w:t>
            </w:r>
          </w:p>
        </w:tc>
        <w:tc>
          <w:tcPr>
            <w:tcW w:w="1342" w:type="dxa"/>
            <w:shd w:val="clear" w:color="auto" w:fill="auto"/>
            <w:vAlign w:val="top"/>
          </w:tcPr>
          <w:p w14:paraId="0FCF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集中授课</w:t>
            </w:r>
          </w:p>
        </w:tc>
      </w:tr>
      <w:tr w14:paraId="43BC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4193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53" w:leftChars="25" w:right="53" w:rightChars="25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财务大数据挖掘与可视化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944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964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B03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CE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A98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  <w:tc>
          <w:tcPr>
            <w:tcW w:w="1342" w:type="dxa"/>
            <w:shd w:val="clear" w:color="auto" w:fill="auto"/>
            <w:vAlign w:val="top"/>
          </w:tcPr>
          <w:p w14:paraId="66E9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晚上/周末</w:t>
            </w:r>
          </w:p>
        </w:tc>
      </w:tr>
      <w:tr w14:paraId="77C7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3C75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53" w:leftChars="25" w:right="53" w:rightChars="25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RPA财务机器人开发与应用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A6B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D82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986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D6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931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  <w:tc>
          <w:tcPr>
            <w:tcW w:w="1342" w:type="dxa"/>
            <w:shd w:val="clear" w:color="auto" w:fill="auto"/>
            <w:vAlign w:val="top"/>
          </w:tcPr>
          <w:p w14:paraId="1DA4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晚上/周末</w:t>
            </w:r>
          </w:p>
        </w:tc>
      </w:tr>
      <w:tr w14:paraId="3D3A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3F78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53" w:leftChars="25" w:right="53" w:rightChars="25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智能财务管理理论与综合实训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D29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F1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9E2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73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8D1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4A8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晚上/周末</w:t>
            </w:r>
          </w:p>
        </w:tc>
      </w:tr>
    </w:tbl>
    <w:p w14:paraId="14BFA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报名及录取流程</w:t>
      </w: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 xml:space="preserve"> </w:t>
      </w:r>
    </w:p>
    <w:p w14:paraId="508D4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1. 12月1日-5日：学生通过搜索QQ群号入对应微专业报名群，在线填写报名表。</w:t>
      </w:r>
    </w:p>
    <w:p w14:paraId="2B8AA3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12月8日-10日：根据学生线上报名情况进行遴选和录取，最终录取名单将由数智管理学院审核通过后，报教务处审定并公示。</w:t>
      </w:r>
    </w:p>
    <w:p w14:paraId="453AA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 xml:space="preserve">七、联系方式 </w:t>
      </w:r>
    </w:p>
    <w:p w14:paraId="26D78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1. 联系人：叶老师，办公室：2教211</w:t>
      </w:r>
    </w:p>
    <w:p w14:paraId="0857B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2. 报名咨询及后期通知请见QQ群（群号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859789112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欢迎有兴趣的同学踊跃报名。</w:t>
      </w:r>
    </w:p>
    <w:p w14:paraId="224B9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</w:p>
    <w:p w14:paraId="1820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附：微专业简介</w:t>
      </w:r>
    </w:p>
    <w:bookmarkEnd w:id="0"/>
    <w:p w14:paraId="4DD1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                  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数智管理学院</w:t>
      </w:r>
    </w:p>
    <w:p w14:paraId="72CD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2025年11月2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日</w:t>
      </w:r>
    </w:p>
    <w:p w14:paraId="1A2BC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7C9C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1FB7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智能财务管理微专业</w:t>
      </w:r>
    </w:p>
    <w:p w14:paraId="6403B9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一、</w:t>
      </w: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  <w:t>微专业简介</w:t>
      </w:r>
    </w:p>
    <w:p w14:paraId="79DF3E2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本微专业面向非会计学和非财务管理专业的大三、大四年级学生，聚焦“智能技术+财务应用”融合发展趋势，结合大数据、人工智能、RPA等前沿技术在财务流程中的深度应用，构建模块化、实战型的课程体系。学生将通过“理论+案例+项目”三位一体的学习模式，系统掌握智能财务分析工具与数字化转型方法，提升从数据获取、处理分析到财务决策支持的综合能力。本微专业注重跨学科知识整合与实际应用能力培养，帮助学生拓展职业边界，增强在金融科技、企业数字化转型等相关领域的就业竞争力，为其未来从事智能财务分析、财税数字化解决方案设计、企业财务智能化管理等岗位提供有力支撑。</w:t>
      </w:r>
    </w:p>
    <w:p w14:paraId="7B25200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选修本微专业前，建议学生具备以下前置课程基础：《人工智能与信息社会》《Python与AI编程》。</w:t>
      </w:r>
    </w:p>
    <w:p w14:paraId="0A43D74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  <w:t>、学制</w:t>
      </w:r>
    </w:p>
    <w:p w14:paraId="4340E9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学制一年。</w:t>
      </w:r>
    </w:p>
    <w:p w14:paraId="730FE0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三</w:t>
      </w: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  <w:t>、培养目标</w:t>
      </w:r>
    </w:p>
    <w:p w14:paraId="3285C0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本微专业以“智能技术+财务应用”深度融合为导向，围绕企业财务数字化转型的核心需求，系统培养学生掌握从数据采集、智能分析到管理决策的全链条能力。通过课程体系的阶梯式训练，学生将能够运用大数据、机器学习、RPA等工具构建财务风险预警模型、实现税务风险智能管控、开展商业场景建模与量化决策支持，成为具备数据思维与系统实操能力的财务智能化推动者，胜任企业财务数字化、智能财税分析、财务机器人流程优化与量化决策支持等关键岗位。</w:t>
      </w:r>
    </w:p>
    <w:p w14:paraId="47E068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、</w:t>
      </w: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证书授予</w:t>
      </w:r>
    </w:p>
    <w:p w14:paraId="4119193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智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val="en-US" w:eastAsia="zh-CN"/>
        </w:rPr>
        <w:t>能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财务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val="en-US" w:eastAsia="zh-CN"/>
        </w:rPr>
        <w:t>管理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微专业课程成绩依据学校成绩考核认定等管理办法执行。学生完成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val="en-US" w:eastAsia="zh-CN"/>
        </w:rPr>
        <w:t>16学分的微专业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课程学习且成绩合格，达到微专业结业要求的可获得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val="en-US" w:eastAsia="zh-CN"/>
        </w:rPr>
        <w:t>学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校颁发的“智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val="en-US" w:eastAsia="zh-CN"/>
        </w:rPr>
        <w:t>能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财务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val="en-US" w:eastAsia="zh-CN"/>
        </w:rPr>
        <w:t>管理</w:t>
      </w: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”微专业证书。</w:t>
      </w:r>
    </w:p>
    <w:sectPr>
      <w:pgSz w:w="11906" w:h="16838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ABB1DA-FE24-43C1-9233-BA10BDD01E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7132923-212F-455B-8105-E6501A1C114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AA4E"/>
    <w:multiLevelType w:val="singleLevel"/>
    <w:tmpl w:val="A334AA4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84427"/>
    <w:rsid w:val="04DF5EE8"/>
    <w:rsid w:val="107344CB"/>
    <w:rsid w:val="1B8E446A"/>
    <w:rsid w:val="22287F70"/>
    <w:rsid w:val="232625C2"/>
    <w:rsid w:val="25156B19"/>
    <w:rsid w:val="26C003D2"/>
    <w:rsid w:val="30ED2BE9"/>
    <w:rsid w:val="364D069A"/>
    <w:rsid w:val="3A063554"/>
    <w:rsid w:val="3A6A181A"/>
    <w:rsid w:val="4007741B"/>
    <w:rsid w:val="42FF1F50"/>
    <w:rsid w:val="46F261F0"/>
    <w:rsid w:val="477274D4"/>
    <w:rsid w:val="48D84427"/>
    <w:rsid w:val="496D7BA2"/>
    <w:rsid w:val="5389440B"/>
    <w:rsid w:val="5D3301A4"/>
    <w:rsid w:val="6122434D"/>
    <w:rsid w:val="62634C1E"/>
    <w:rsid w:val="67C52898"/>
    <w:rsid w:val="6ACD70D8"/>
    <w:rsid w:val="6E1A4B56"/>
    <w:rsid w:val="6FD5355F"/>
    <w:rsid w:val="755A5A0C"/>
    <w:rsid w:val="76197206"/>
    <w:rsid w:val="7D04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c2ad70a2-a828-418f-9a3f-f70c992bdd70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508D4B5A</paraID>
      <start>8</start>
      <end>9</end>
      <status>unmodified</status>
      <modifiedWord/>
      <trackRevisions>false</trackRevisions>
    </reviewItem>
    <reviewItem>
      <errorID>6b2b2a21-6a92-4b76-9842-af4905d4eafa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508D4B5A</paraID>
      <start>39</start>
      <end>40</end>
      <status>unmodified</status>
      <modifiedWord/>
      <trackRevisions>false</trackRevisions>
    </reviewItem>
    <reviewItem>
      <errorID>8f468f7f-c51d-405b-9812-3d0ba9513800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2B8AA31C</paraID>
      <start>5</start>
      <end>6</end>
      <status>unmodified</status>
      <modifiedWord/>
      <trackRevisions>false</trackRevisions>
    </reviewItem>
    <reviewItem>
      <errorID>71389ac7-53a2-4fc6-a671-73dcd58d536b</errorID>
      <errorWord>本微</errorWord>
      <group>L1_Word</group>
      <groupName>字词问题</groupName>
      <ability>L2_Typo</ability>
      <abilityName>字词错误</abilityName>
      <candidateList>
        <item>本</item>
      </candidateList>
      <explain>❶（～儿）〈名〉本子❶：书～｜账～儿。❷版本：刻～｜抄～｜稿～。❸（～儿）演出的底本：话～｜剧～。❹封建时代指奏章：修～（拟奏章）｜奏上一～。❺（～儿）〈量〉a）用于书籍簿册：五～书｜两～儿账。b）用于戏：头～《西游记》。c）用于一定长度的影片：这部电影是十四～。</explain>
      <paraID>79DF3E27</paraID>
      <start>166</start>
      <end>168</end>
      <status>unmodified</status>
      <modifiedWord/>
      <trackRevisions>false</trackRevisions>
    </reviewItem>
    <reviewItem>
      <errorID>0ab13262-4a63-446b-b176-c492c758f27e</errorID>
      <errorWord>本微</errorWord>
      <group>L1_Word</group>
      <groupName>字词问题</groupName>
      <ability>L2_Typo</ability>
      <abilityName>字词错误</abilityName>
      <candidateList>
        <item>本</item>
      </candidateList>
      <explain>❶（～儿）〈名〉本子❶：书～｜账～儿。❷版本：刻～｜抄～｜稿～。❸（～儿）演出的底本：话～｜剧～。❹封建时代指奏章：修～（拟奏章）｜奏上一～。❺（～儿）〈量〉a）用于书籍簿册：五～书｜两～儿账。b）用于戏：头～《西游记》。c）用于一定长度的影片：这部电影是十四～。</explain>
      <paraID>7B25200E</paraID>
      <start>2</start>
      <end>4</end>
      <status>unmodified</status>
      <modifiedWord/>
      <trackRevisions>false</trackRevisions>
    </reviewItem>
    <reviewItem>
      <errorID>7cd9a922-f593-4bac-be3a-df4326238967</errorID>
      <errorWord>本微</errorWord>
      <group>L1_Word</group>
      <groupName>字词问题</groupName>
      <ability>L2_Typo</ability>
      <abilityName>字词错误</abilityName>
      <candidateList>
        <item>本</item>
      </candidateList>
      <explain>❶（～儿）〈名〉本子❶：书～｜账～儿。❷版本：刻～｜抄～｜稿～。❸（～儿）演出的底本：话～｜剧～。❹封建时代指奏章：修～（拟奏章）｜奏上一～。❺（～儿）〈量〉a）用于书籍簿册：五～书｜两～儿账。b）用于戏：头～《西游记》。c）用于一定长度的影片：这部电影是十四～。</explain>
      <paraID>3285C03A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290ad4-939e-46e1-889b-78a3cbcb7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1216</Characters>
  <Lines>0</Lines>
  <Paragraphs>0</Paragraphs>
  <TotalTime>0</TotalTime>
  <ScaleCrop>false</ScaleCrop>
  <LinksUpToDate>false</LinksUpToDate>
  <CharactersWithSpaces>1277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2025-11-24T01:35:00Z</dcterms:created>
  <dc:creator>邹宇新</dc:creator>
  <cp:lastModifiedBy>『散落阳光』</cp:lastModifiedBy>
  <cp:lastPrinted>2025-11-25T01:08:00Z</cp:lastPrinted>
  <dcterms:modified xsi:type="dcterms:W3CDTF">2025-11-27T07:25:53Z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7012F4CA9DA64A329DB19C4D97081689_13</vt:lpwstr>
  </property>
  <property fmtid="{D5CDD505-2E9C-101B-9397-08002B2CF9AE}" pid="4" name="KSOTemplateDocerSaveRecord">
    <vt:lpwstr>eyJoZGlkIjoiNDQ5NDdlNWRlNDJmOGNmY2Q1M2ZlZDUwNTMwMTRlNWQiLCJ1c2VySWQiOiI0NTAyMDQ1ODcifQ==</vt:lpwstr>
  </property>
</Properties>
</file>